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49" w:rsidRPr="007143DC" w:rsidRDefault="00257249" w:rsidP="00257249">
      <w:pPr>
        <w:jc w:val="center"/>
        <w:rPr>
          <w:rFonts w:ascii="Times New Roman" w:hAnsi="Times New Roman"/>
          <w:b/>
          <w:sz w:val="28"/>
        </w:rPr>
      </w:pPr>
      <w:r w:rsidRPr="007143DC">
        <w:rPr>
          <w:rFonts w:ascii="Times New Roman" w:hAnsi="Times New Roman"/>
          <w:b/>
          <w:sz w:val="28"/>
        </w:rPr>
        <w:t>Focus on the play script</w:t>
      </w:r>
    </w:p>
    <w:p w:rsidR="00257249" w:rsidRPr="007143DC" w:rsidRDefault="00257249" w:rsidP="00257249">
      <w:pPr>
        <w:rPr>
          <w:rFonts w:ascii="Times New Roman" w:hAnsi="Times New Roman"/>
          <w:b/>
          <w:sz w:val="22"/>
        </w:rPr>
      </w:pPr>
    </w:p>
    <w:p w:rsidR="00257249" w:rsidRPr="007143DC" w:rsidRDefault="00257249" w:rsidP="00257249">
      <w:pPr>
        <w:rPr>
          <w:rFonts w:ascii="Times New Roman" w:hAnsi="Times New Roman"/>
          <w:b/>
        </w:rPr>
      </w:pPr>
      <w:r w:rsidRPr="007143DC">
        <w:rPr>
          <w:rFonts w:ascii="Times New Roman" w:hAnsi="Times New Roman"/>
          <w:b/>
        </w:rPr>
        <w:t>Task 1</w:t>
      </w:r>
    </w:p>
    <w:p w:rsidR="00257249" w:rsidRPr="007143DC" w:rsidRDefault="00257249" w:rsidP="00257249">
      <w:pPr>
        <w:rPr>
          <w:rFonts w:ascii="Times New Roman" w:hAnsi="Times New Roman"/>
        </w:rPr>
      </w:pPr>
      <w:r w:rsidRPr="007143DC">
        <w:rPr>
          <w:rFonts w:ascii="Times New Roman" w:hAnsi="Times New Roman"/>
        </w:rPr>
        <w:t>Read Act I, scene v, lines 43 52 and then complete the table below. The first one has been done for you.</w:t>
      </w:r>
    </w:p>
    <w:p w:rsidR="00257249" w:rsidRPr="007143DC" w:rsidRDefault="00257249" w:rsidP="00257249">
      <w:pPr>
        <w:rPr>
          <w:rFonts w:ascii="Times New Roman" w:hAnsi="Times New Roman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3066"/>
        <w:gridCol w:w="3066"/>
      </w:tblGrid>
      <w:tr w:rsidR="00257249" w:rsidRPr="007143DC" w:rsidTr="009E078D">
        <w:tc>
          <w:tcPr>
            <w:tcW w:w="3066" w:type="dxa"/>
          </w:tcPr>
          <w:p w:rsidR="00257249" w:rsidRPr="007143DC" w:rsidRDefault="00257249" w:rsidP="009E078D">
            <w:pPr>
              <w:rPr>
                <w:rFonts w:ascii="Times New Roman" w:hAnsi="Times New Roman"/>
                <w:b/>
              </w:rPr>
            </w:pPr>
            <w:r w:rsidRPr="007143DC">
              <w:rPr>
                <w:rFonts w:ascii="Times New Roman" w:hAnsi="Times New Roman"/>
                <w:b/>
              </w:rPr>
              <w:t>Example of simile or metaphor</w:t>
            </w:r>
          </w:p>
        </w:tc>
        <w:tc>
          <w:tcPr>
            <w:tcW w:w="3066" w:type="dxa"/>
          </w:tcPr>
          <w:p w:rsidR="00257249" w:rsidRPr="007143DC" w:rsidRDefault="00257249" w:rsidP="009E078D">
            <w:pPr>
              <w:rPr>
                <w:rFonts w:ascii="Times New Roman" w:hAnsi="Times New Roman"/>
                <w:b/>
              </w:rPr>
            </w:pPr>
            <w:r w:rsidRPr="007143DC">
              <w:rPr>
                <w:rFonts w:ascii="Times New Roman" w:hAnsi="Times New Roman"/>
                <w:b/>
              </w:rPr>
              <w:t>Shakespeare compares what to what?</w:t>
            </w:r>
          </w:p>
        </w:tc>
        <w:tc>
          <w:tcPr>
            <w:tcW w:w="3066" w:type="dxa"/>
          </w:tcPr>
          <w:p w:rsidR="00257249" w:rsidRPr="007143DC" w:rsidRDefault="00257249" w:rsidP="009E078D">
            <w:pPr>
              <w:rPr>
                <w:rFonts w:ascii="Times New Roman" w:hAnsi="Times New Roman"/>
                <w:b/>
              </w:rPr>
            </w:pPr>
            <w:r w:rsidRPr="007143DC">
              <w:rPr>
                <w:rFonts w:ascii="Times New Roman" w:hAnsi="Times New Roman"/>
                <w:b/>
              </w:rPr>
              <w:t>Purpose and effect of the comparison</w:t>
            </w:r>
          </w:p>
        </w:tc>
      </w:tr>
      <w:tr w:rsidR="00257249" w:rsidRPr="007143DC" w:rsidTr="009E078D">
        <w:tc>
          <w:tcPr>
            <w:tcW w:w="3066" w:type="dxa"/>
          </w:tcPr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  <w:i/>
              </w:rPr>
            </w:pPr>
            <w:r w:rsidRPr="007143DC">
              <w:rPr>
                <w:rFonts w:ascii="Times New Roman" w:hAnsi="Times New Roman"/>
                <w:i/>
              </w:rPr>
              <w:t>O she doth teach the torches to burn bright!</w:t>
            </w: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</w:tc>
        <w:tc>
          <w:tcPr>
            <w:tcW w:w="3066" w:type="dxa"/>
          </w:tcPr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  <w:r w:rsidRPr="007143DC">
              <w:rPr>
                <w:rFonts w:ascii="Times New Roman" w:hAnsi="Times New Roman"/>
              </w:rPr>
              <w:t>This line compares Juliet to a flame.</w:t>
            </w:r>
          </w:p>
        </w:tc>
        <w:tc>
          <w:tcPr>
            <w:tcW w:w="3066" w:type="dxa"/>
          </w:tcPr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  <w:r w:rsidRPr="007143DC">
              <w:rPr>
                <w:rFonts w:ascii="Times New Roman" w:hAnsi="Times New Roman"/>
              </w:rPr>
              <w:t>The comparison emphasises the way Juliet glows and stands out like a light in the room. The purpose is to emphasise her beauty.</w:t>
            </w:r>
          </w:p>
        </w:tc>
      </w:tr>
      <w:tr w:rsidR="00257249" w:rsidRPr="007143DC" w:rsidTr="009E078D">
        <w:tc>
          <w:tcPr>
            <w:tcW w:w="3066" w:type="dxa"/>
          </w:tcPr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</w:tc>
        <w:tc>
          <w:tcPr>
            <w:tcW w:w="3066" w:type="dxa"/>
          </w:tcPr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</w:tc>
        <w:tc>
          <w:tcPr>
            <w:tcW w:w="3066" w:type="dxa"/>
          </w:tcPr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</w:tc>
      </w:tr>
      <w:tr w:rsidR="00257249" w:rsidRPr="007143DC" w:rsidTr="009E078D">
        <w:tc>
          <w:tcPr>
            <w:tcW w:w="3066" w:type="dxa"/>
          </w:tcPr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</w:tc>
        <w:tc>
          <w:tcPr>
            <w:tcW w:w="3066" w:type="dxa"/>
          </w:tcPr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</w:tc>
        <w:tc>
          <w:tcPr>
            <w:tcW w:w="3066" w:type="dxa"/>
          </w:tcPr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</w:tc>
      </w:tr>
      <w:tr w:rsidR="00257249" w:rsidRPr="007143DC" w:rsidTr="009E078D">
        <w:tc>
          <w:tcPr>
            <w:tcW w:w="3066" w:type="dxa"/>
          </w:tcPr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</w:tc>
        <w:tc>
          <w:tcPr>
            <w:tcW w:w="3066" w:type="dxa"/>
          </w:tcPr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</w:tc>
        <w:tc>
          <w:tcPr>
            <w:tcW w:w="3066" w:type="dxa"/>
          </w:tcPr>
          <w:p w:rsidR="00257249" w:rsidRPr="007143DC" w:rsidRDefault="00257249" w:rsidP="009E078D">
            <w:pPr>
              <w:rPr>
                <w:rFonts w:ascii="Times New Roman" w:hAnsi="Times New Roman"/>
              </w:rPr>
            </w:pPr>
          </w:p>
        </w:tc>
      </w:tr>
    </w:tbl>
    <w:p w:rsidR="00257249" w:rsidRPr="007143DC" w:rsidRDefault="00257249" w:rsidP="00257249">
      <w:pPr>
        <w:rPr>
          <w:rFonts w:ascii="Times New Roman" w:hAnsi="Times New Roman"/>
        </w:rPr>
      </w:pPr>
    </w:p>
    <w:p w:rsidR="00257249" w:rsidRPr="007143DC" w:rsidRDefault="00257249" w:rsidP="00257249">
      <w:pPr>
        <w:rPr>
          <w:rFonts w:ascii="Times New Roman" w:hAnsi="Times New Roman"/>
          <w:b/>
        </w:rPr>
      </w:pPr>
      <w:r w:rsidRPr="007143DC">
        <w:rPr>
          <w:rFonts w:ascii="Times New Roman" w:hAnsi="Times New Roman"/>
          <w:b/>
        </w:rPr>
        <w:t>Task 2:</w:t>
      </w:r>
    </w:p>
    <w:p w:rsidR="00257249" w:rsidRPr="007143DC" w:rsidRDefault="00257249" w:rsidP="00257249">
      <w:pPr>
        <w:rPr>
          <w:rFonts w:ascii="Times New Roman" w:hAnsi="Times New Roman"/>
        </w:rPr>
      </w:pPr>
      <w:r w:rsidRPr="007143DC">
        <w:rPr>
          <w:rFonts w:ascii="Times New Roman" w:hAnsi="Times New Roman"/>
        </w:rPr>
        <w:t>Read Act III, scene v, lines 1–36 after Romeo and Juliet have celebrated their wedding night. Create a new table and identify examples of simile and metaphor in this scene and the effect and purpose of the language techniques.</w:t>
      </w:r>
    </w:p>
    <w:p w:rsidR="0038296A" w:rsidRPr="007143DC" w:rsidRDefault="0038296A">
      <w:pPr>
        <w:rPr>
          <w:rFonts w:ascii="Times New Roman" w:hAnsi="Times New Roman"/>
        </w:rPr>
      </w:pPr>
    </w:p>
    <w:sectPr w:rsidR="0038296A" w:rsidRPr="007143DC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7249"/>
    <w:rsid w:val="00257249"/>
    <w:rsid w:val="0038296A"/>
    <w:rsid w:val="007143DC"/>
    <w:rsid w:val="00AE4C2B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49"/>
    <w:pPr>
      <w:spacing w:after="0" w:line="240" w:lineRule="auto"/>
    </w:pPr>
    <w:rPr>
      <w:rFonts w:ascii="Arial" w:eastAsia="Times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Stuart High School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2</cp:revision>
  <dcterms:created xsi:type="dcterms:W3CDTF">2016-09-10T09:51:00Z</dcterms:created>
  <dcterms:modified xsi:type="dcterms:W3CDTF">2016-09-10T10:17:00Z</dcterms:modified>
</cp:coreProperties>
</file>